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6468"/>
      </w:tblGrid>
      <w:tr w:rsidR="005D1D04" w:rsidRPr="005D1D04" w:rsidTr="00D81ED0">
        <w:trPr>
          <w:cnfStyle w:val="100000000000"/>
          <w:trHeight w:val="655"/>
          <w:jc w:val="center"/>
        </w:trPr>
        <w:tc>
          <w:tcPr>
            <w:cnfStyle w:val="001000000100"/>
            <w:tcW w:w="3188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468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D81ED0">
        <w:trPr>
          <w:cnfStyle w:val="000000100000"/>
          <w:trHeight w:val="655"/>
          <w:jc w:val="center"/>
        </w:trPr>
        <w:tc>
          <w:tcPr>
            <w:cnfStyle w:val="001000000000"/>
            <w:tcW w:w="3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64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D1D04" w:rsidRPr="004700AE" w:rsidRDefault="00AD071C" w:rsidP="005D1D04">
            <w:pPr>
              <w:bidi/>
              <w:cnfStyle w:val="000000100000"/>
              <w:rPr>
                <w:rFonts w:eastAsia="Times New Roman" w:cs="B Zar"/>
                <w:b/>
                <w:bCs/>
                <w:rtl/>
              </w:rPr>
            </w:pPr>
            <w:r w:rsidRPr="004700AE">
              <w:rPr>
                <w:rFonts w:eastAsia="Times New Roman" w:cs="B Zar" w:hint="cs"/>
                <w:b/>
                <w:bCs/>
                <w:rtl/>
              </w:rPr>
              <w:t>مدیریت امور هیات علمی</w:t>
            </w:r>
          </w:p>
        </w:tc>
      </w:tr>
      <w:tr w:rsidR="005D1D04" w:rsidRPr="005D1D04" w:rsidTr="00D81ED0">
        <w:trPr>
          <w:trHeight w:val="1287"/>
          <w:jc w:val="center"/>
        </w:trPr>
        <w:tc>
          <w:tcPr>
            <w:cnfStyle w:val="001000000000"/>
            <w:tcW w:w="3188" w:type="dxa"/>
            <w:tcBorders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6468" w:type="dxa"/>
            <w:vAlign w:val="center"/>
          </w:tcPr>
          <w:p w:rsidR="005D1D04" w:rsidRPr="004700AE" w:rsidRDefault="00866426" w:rsidP="005D1D04">
            <w:pPr>
              <w:bidi/>
              <w:cnfStyle w:val="000000000000"/>
              <w:rPr>
                <w:rFonts w:eastAsia="Times New Roman" w:cs="B Zar"/>
                <w:b/>
                <w:bCs/>
                <w:rtl/>
              </w:rPr>
            </w:pPr>
            <w:r w:rsidRPr="004700AE">
              <w:rPr>
                <w:rFonts w:eastAsia="Times New Roman" w:cs="B Zar" w:hint="cs"/>
                <w:b/>
                <w:bCs/>
                <w:rtl/>
              </w:rPr>
              <w:t>محبوبه حاجی زاده صفار</w:t>
            </w:r>
          </w:p>
          <w:p w:rsidR="00866426" w:rsidRPr="004700AE" w:rsidRDefault="00866426" w:rsidP="00866426">
            <w:pPr>
              <w:bidi/>
              <w:cnfStyle w:val="000000000000"/>
              <w:rPr>
                <w:rFonts w:eastAsia="Times New Roman" w:cs="B Zar"/>
                <w:b/>
                <w:bCs/>
              </w:rPr>
            </w:pPr>
            <w:r w:rsidRPr="004700AE">
              <w:rPr>
                <w:rFonts w:eastAsia="Times New Roman" w:cs="B Zar"/>
                <w:b/>
                <w:bCs/>
              </w:rPr>
              <w:t>Hajizadehm1@mums.ac.ir</w:t>
            </w:r>
          </w:p>
        </w:tc>
      </w:tr>
      <w:tr w:rsidR="005D1D04" w:rsidRPr="005D1D04" w:rsidTr="00D81ED0">
        <w:trPr>
          <w:cnfStyle w:val="000000100000"/>
          <w:trHeight w:val="655"/>
          <w:jc w:val="center"/>
        </w:trPr>
        <w:tc>
          <w:tcPr>
            <w:cnfStyle w:val="001000000000"/>
            <w:tcW w:w="3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4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D1D04" w:rsidRPr="005D1D04" w:rsidRDefault="00E431EF" w:rsidP="00E431EF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C90833">
              <w:rPr>
                <w:rFonts w:eastAsia="Times New Roman" w:cs="B Zar" w:hint="cs"/>
                <w:b/>
                <w:bCs/>
                <w:rtl/>
              </w:rPr>
              <w:t xml:space="preserve">تعدیل مدل پیشنهادی وزارت بهداشت در خصوص محاسبه نسبت هیات علمی آموزشی به دانشجو در دانشگاه علوم پزشکی مشهد، با نگاه به برنامهای راهبردی دانشگاه برای توسعه آموزشی </w:t>
            </w:r>
            <w:r w:rsidR="00C90833">
              <w:rPr>
                <w:rFonts w:eastAsia="Times New Roman" w:cs="B Zar" w:hint="cs"/>
                <w:b/>
                <w:bCs/>
                <w:rtl/>
              </w:rPr>
              <w:t xml:space="preserve">در تمامی دانشکده ها و به طور ویژه در خصوص </w:t>
            </w:r>
            <w:r w:rsidRPr="00C90833">
              <w:rPr>
                <w:rFonts w:eastAsia="Times New Roman" w:cs="B Zar" w:hint="cs"/>
                <w:b/>
                <w:bCs/>
                <w:rtl/>
              </w:rPr>
              <w:t>گروه های بالینی دانشکده پزشکی</w:t>
            </w:r>
            <w:r w:rsidR="00C90833">
              <w:rPr>
                <w:rFonts w:eastAsia="Times New Roman" w:cs="B Zar" w:hint="cs"/>
                <w:b/>
                <w:bCs/>
                <w:rtl/>
              </w:rPr>
              <w:t xml:space="preserve"> </w:t>
            </w:r>
          </w:p>
        </w:tc>
      </w:tr>
      <w:tr w:rsidR="005D1D04" w:rsidRPr="005D1D04" w:rsidTr="00D81ED0">
        <w:trPr>
          <w:trHeight w:val="655"/>
          <w:jc w:val="center"/>
        </w:trPr>
        <w:tc>
          <w:tcPr>
            <w:cnfStyle w:val="001000000000"/>
            <w:tcW w:w="3188" w:type="dxa"/>
            <w:tcBorders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468" w:type="dxa"/>
            <w:vAlign w:val="center"/>
          </w:tcPr>
          <w:p w:rsidR="005D1D04" w:rsidRPr="00AD6072" w:rsidRDefault="00C62D4D" w:rsidP="00AD6072">
            <w:pPr>
              <w:bidi/>
              <w:cnfStyle w:val="000000000000"/>
              <w:rPr>
                <w:rFonts w:eastAsia="Times New Roman" w:cs="B Zar"/>
                <w:b/>
                <w:bCs/>
                <w:rtl/>
              </w:rPr>
            </w:pPr>
            <w:r w:rsidRPr="00AD6072">
              <w:rPr>
                <w:rFonts w:eastAsia="Times New Roman" w:cs="B Zar" w:hint="cs"/>
                <w:b/>
                <w:bCs/>
                <w:rtl/>
              </w:rPr>
              <w:t>امروزه ، رشد و توسعه سازمانها به استفاده واقعی از منابع انسانی بستگی دارد ، منابع انسانی مهمترین سرمایه سازمان محسوب می شود و مدیریت موثر آنها رمز موفقیت سازمان است. در سیستم آموزش عالی ، اعضای هیئت علمی یکی از سرمایه های اصلی هستند و موفقیت سازمان ها به دلیل کارآیی مطلوب آنها است. جستجوی موثر و استخدام اعضای هیئت علمی برای دانشگاه یک امر مهم است و باید به گونه ای مدیریت شود که افراد مناسب به عنوان اعضای هیئت علمی تصدی شوند.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 xml:space="preserve"> 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>ب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ر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>اورد ن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رو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کار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>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فرا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ند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است که به منظور اطم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نان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افتن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از ا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نکه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ک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</w:t>
            </w:r>
            <w:r w:rsidR="00AD6072">
              <w:rPr>
                <w:rFonts w:eastAsia="Times New Roman" w:cs="B Zar"/>
                <w:b/>
                <w:bCs/>
                <w:rtl/>
              </w:rPr>
              <w:t>سازمان در زمان مناسب و با دار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 xml:space="preserve">ا 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>بودن افراد مناسب برا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ن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ازها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حال و آ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نده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خود آماده م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شود، طراح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شده است. در نت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جه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براورد تعداد مورد ن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از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اعضا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ه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ات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علم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 xml:space="preserve"> به عنوان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ح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ات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تر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ن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منب</w:t>
            </w:r>
            <w:r w:rsidR="00AD6072" w:rsidRPr="00AD6072">
              <w:rPr>
                <w:rFonts w:eastAsia="Times New Roman" w:cs="B Zar" w:hint="eastAsia"/>
                <w:b/>
                <w:bCs/>
                <w:rtl/>
              </w:rPr>
              <w:t>ع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>در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دانشگاه و ستون تعال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ی</w:t>
            </w:r>
            <w:r w:rsidR="00AD6072">
              <w:rPr>
                <w:rFonts w:eastAsia="Times New Roman" w:cs="B Zar"/>
                <w:b/>
                <w:bCs/>
                <w:rtl/>
              </w:rPr>
              <w:t xml:space="preserve"> دانشگاه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>، برای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 xml:space="preserve"> دانشگاه ضرورت </w:t>
            </w:r>
            <w:r w:rsidR="00AD6072">
              <w:rPr>
                <w:rFonts w:eastAsia="Times New Roman" w:cs="B Zar" w:hint="cs"/>
                <w:b/>
                <w:bCs/>
                <w:rtl/>
              </w:rPr>
              <w:t>دارد</w:t>
            </w:r>
            <w:r w:rsidR="00AD6072" w:rsidRPr="00AD6072">
              <w:rPr>
                <w:rFonts w:eastAsia="Times New Roman" w:cs="B Zar"/>
                <w:b/>
                <w:bCs/>
                <w:rtl/>
              </w:rPr>
              <w:t>.</w:t>
            </w:r>
          </w:p>
          <w:p w:rsidR="00C62D4D" w:rsidRPr="005D1D04" w:rsidRDefault="00C62D4D" w:rsidP="00AD6072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 w:rsidRPr="00AD6072">
              <w:rPr>
                <w:rFonts w:eastAsia="Times New Roman" w:cs="B Zar" w:hint="cs"/>
                <w:b/>
                <w:bCs/>
                <w:rtl/>
              </w:rPr>
              <w:t xml:space="preserve">این طرح سعی دارد با ایجاد شفافیت در مشاهده وضعیت موجود در دانشگاه و الویت گذاری برای جذب نیروی هیات علمی در گروه های آموزشی بر اساس رشته های تحصیلی 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 xml:space="preserve">و تعداد دانشجویان هر </w:t>
            </w:r>
            <w:r w:rsidRPr="00AD6072">
              <w:rPr>
                <w:rFonts w:eastAsia="Times New Roman" w:cs="B Zar" w:hint="cs"/>
                <w:b/>
                <w:bCs/>
                <w:rtl/>
              </w:rPr>
              <w:t xml:space="preserve">گروه و تعداد هیات علمی مرتبط با گروه در سطح دانشگاه، بستر تصمیم گیری برای جذب هیات علمی مورد نیاز را هوشمند کرده و جلوی جذب هیات علمی خارج از 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الویت</w:t>
            </w:r>
            <w:r w:rsidRPr="00AD6072">
              <w:rPr>
                <w:rFonts w:eastAsia="Times New Roman" w:cs="B Zar" w:hint="cs"/>
                <w:b/>
                <w:bCs/>
                <w:rtl/>
              </w:rPr>
              <w:t xml:space="preserve"> را گرفته و</w:t>
            </w:r>
            <w:r w:rsidR="005F098A">
              <w:rPr>
                <w:rFonts w:eastAsia="Times New Roman" w:cs="B Zar" w:hint="cs"/>
                <w:b/>
                <w:bCs/>
                <w:rtl/>
              </w:rPr>
              <w:t xml:space="preserve"> </w:t>
            </w:r>
            <w:r w:rsidR="00AD6072" w:rsidRPr="00AD6072">
              <w:rPr>
                <w:rFonts w:eastAsia="Times New Roman" w:cs="B Zar" w:hint="cs"/>
                <w:b/>
                <w:bCs/>
                <w:rtl/>
              </w:rPr>
              <w:t>همچنین</w:t>
            </w:r>
            <w:r w:rsidRPr="00AD6072">
              <w:rPr>
                <w:rFonts w:eastAsia="Times New Roman" w:cs="B Zar" w:hint="cs"/>
                <w:b/>
                <w:bCs/>
                <w:rtl/>
              </w:rPr>
              <w:t xml:space="preserve"> باعث صرفه جویی بیشتر در پرداخت </w:t>
            </w:r>
            <w:r w:rsidR="005F098A">
              <w:rPr>
                <w:rFonts w:eastAsia="Times New Roman" w:cs="B Zar" w:hint="cs"/>
                <w:b/>
                <w:bCs/>
                <w:rtl/>
              </w:rPr>
              <w:t xml:space="preserve">مبالغ هنگفت برای </w:t>
            </w:r>
            <w:r w:rsidRPr="00AD6072">
              <w:rPr>
                <w:rFonts w:eastAsia="Times New Roman" w:cs="B Zar" w:hint="cs"/>
                <w:b/>
                <w:bCs/>
                <w:rtl/>
              </w:rPr>
              <w:t>حق التدریس در سطح دانشگاه شود</w:t>
            </w:r>
            <w:r>
              <w:rPr>
                <w:rFonts w:hint="cs"/>
                <w:rtl/>
              </w:rPr>
              <w:t>.</w:t>
            </w:r>
          </w:p>
        </w:tc>
      </w:tr>
      <w:tr w:rsidR="005D1D04" w:rsidRPr="005D1D04" w:rsidTr="00D81ED0">
        <w:trPr>
          <w:cnfStyle w:val="000000100000"/>
          <w:trHeight w:val="655"/>
          <w:jc w:val="center"/>
        </w:trPr>
        <w:tc>
          <w:tcPr>
            <w:cnfStyle w:val="001000000000"/>
            <w:tcW w:w="3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4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431EF" w:rsidRDefault="00E431EF" w:rsidP="00E431EF">
            <w:pPr>
              <w:numPr>
                <w:ilvl w:val="0"/>
                <w:numId w:val="1"/>
              </w:numPr>
              <w:bidi/>
              <w:cnfStyle w:val="000000100000"/>
              <w:rPr>
                <w:rFonts w:eastAsia="Times New Roman" w:cs="B Zar"/>
                <w:b/>
                <w:bCs/>
                <w:rtl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 xml:space="preserve">شناسایی نیاز واقعی دانشگاه علوم پزشکی مشهد به هیات علمی آموزشی متناسب با تعداد دانشجویان در مقاطع مختلف تحصیلی آنها    </w:t>
            </w:r>
          </w:p>
          <w:p w:rsidR="00E431EF" w:rsidRDefault="00E431EF" w:rsidP="00E431EF">
            <w:pPr>
              <w:numPr>
                <w:ilvl w:val="0"/>
                <w:numId w:val="1"/>
              </w:numPr>
              <w:bidi/>
              <w:cnfStyle w:val="000000100000"/>
              <w:rPr>
                <w:rFonts w:eastAsia="Times New Roman" w:cs="B Zar"/>
                <w:b/>
                <w:bCs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>تعیین تفاوتهای موجود در نیازمندی دانشکده های مختلف دانشگاه علوم پزشکی مشهد به جذب هیات علمی آموزشی متناسب با تفاوت در ماهیت رشته ها و مقاطع مختلف تحصیلی دانشجویان آنها</w:t>
            </w:r>
          </w:p>
          <w:p w:rsidR="00E431EF" w:rsidRDefault="00E431EF" w:rsidP="00E431EF">
            <w:pPr>
              <w:numPr>
                <w:ilvl w:val="0"/>
                <w:numId w:val="1"/>
              </w:numPr>
              <w:bidi/>
              <w:cnfStyle w:val="000000100000"/>
              <w:rPr>
                <w:rFonts w:eastAsia="Times New Roman" w:cs="B Zar"/>
                <w:b/>
                <w:bCs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 xml:space="preserve">تعیین میزان توازن در توزیع تعداد واحد های درسی (بار آموزشی) اعضای هیات علمی در گروه های آموزشی پس از اعمال فرمول </w:t>
            </w:r>
            <w:r w:rsidRPr="00B71DD7">
              <w:rPr>
                <w:rFonts w:eastAsia="Times New Roman" w:cs="B Zar" w:hint="cs"/>
                <w:b/>
                <w:bCs/>
                <w:rtl/>
              </w:rPr>
              <w:t>محاسبه نسبت هیات علمی آموزشی به دانشجو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 در گروه های آموزشی به تفکیک دانشکده ها</w:t>
            </w:r>
          </w:p>
          <w:p w:rsidR="00E431EF" w:rsidRPr="00A70785" w:rsidRDefault="00E431EF" w:rsidP="00A70785">
            <w:pPr>
              <w:numPr>
                <w:ilvl w:val="0"/>
                <w:numId w:val="1"/>
              </w:numPr>
              <w:bidi/>
              <w:cnfStyle w:val="000000100000"/>
              <w:rPr>
                <w:rFonts w:eastAsia="Times New Roman" w:cs="B Zar"/>
                <w:b/>
                <w:bCs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 xml:space="preserve">شناسایی گرایشهای تخصص و فوق تخصص و فلوشیپ آموزشی در گروه های بالینی دانشکده پزشکی </w:t>
            </w:r>
            <w:r w:rsidR="00A70785">
              <w:rPr>
                <w:rFonts w:eastAsia="Times New Roman" w:cs="B Zar" w:hint="cs"/>
                <w:b/>
                <w:bCs/>
                <w:rtl/>
              </w:rPr>
              <w:t xml:space="preserve">و </w:t>
            </w:r>
            <w:r w:rsidRPr="00A70785">
              <w:rPr>
                <w:rFonts w:eastAsia="Times New Roman" w:cs="B Zar" w:hint="cs"/>
                <w:b/>
                <w:bCs/>
                <w:rtl/>
              </w:rPr>
              <w:t>شناسایی ماموریتهای ویژه دانشگاه علوم پزشکی مشهد برای رشد و توسعه گرایشهای فوق تخصص و فلوشیپ گروههای بالینی دانشکده پزشکی در  5 سال آینده دانشگاه</w:t>
            </w:r>
          </w:p>
          <w:p w:rsidR="005D1D04" w:rsidRPr="00B463BB" w:rsidRDefault="00A70785" w:rsidP="00B463BB">
            <w:pPr>
              <w:numPr>
                <w:ilvl w:val="0"/>
                <w:numId w:val="1"/>
              </w:numPr>
              <w:bidi/>
              <w:cnfStyle w:val="000000100000"/>
              <w:rPr>
                <w:rFonts w:eastAsia="Times New Roman" w:cs="B Zar"/>
                <w:b/>
                <w:bCs/>
                <w:rtl/>
              </w:rPr>
            </w:pPr>
            <w:r w:rsidRPr="002608F9">
              <w:rPr>
                <w:rFonts w:eastAsia="Times New Roman" w:cs="B Zar" w:hint="cs"/>
                <w:b/>
                <w:bCs/>
                <w:rtl/>
              </w:rPr>
              <w:t xml:space="preserve">محاسبه نیاز گروه های بالینی دانشکده پزشکی به جذب هیات علمی 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با استفاده از روش محاسبه </w:t>
            </w:r>
            <w:r w:rsidRPr="00E50FE9">
              <w:rPr>
                <w:rFonts w:eastAsia="Times New Roman" w:cs="B Zar" w:hint="cs"/>
                <w:b/>
                <w:bCs/>
                <w:rtl/>
              </w:rPr>
              <w:t xml:space="preserve">پیشنهادی وزارت بهداشت </w:t>
            </w:r>
            <w:r w:rsidRPr="00B71DD7">
              <w:rPr>
                <w:rFonts w:eastAsia="Times New Roman" w:cs="B Zar" w:hint="cs"/>
                <w:b/>
                <w:bCs/>
                <w:rtl/>
              </w:rPr>
              <w:t>در محاسبه نسب</w:t>
            </w:r>
            <w:r>
              <w:rPr>
                <w:rFonts w:eastAsia="Times New Roman" w:cs="B Zar" w:hint="cs"/>
                <w:b/>
                <w:bCs/>
                <w:rtl/>
              </w:rPr>
              <w:t>ت هیات علمی آموزشی به دانشجو</w:t>
            </w:r>
            <w:r w:rsidRPr="002608F9">
              <w:rPr>
                <w:rFonts w:eastAsia="Times New Roman" w:cs="B Zar" w:hint="cs"/>
                <w:b/>
                <w:bCs/>
                <w:rtl/>
              </w:rPr>
              <w:t xml:space="preserve">، به تفکیک گرایشهای تخصص و فوق تخصص و فلوشیپ آموزشی در </w:t>
            </w:r>
            <w:r>
              <w:rPr>
                <w:rFonts w:eastAsia="Times New Roman" w:cs="B Zar" w:hint="cs"/>
                <w:b/>
                <w:bCs/>
                <w:rtl/>
              </w:rPr>
              <w:t>هر</w:t>
            </w:r>
            <w:r w:rsidRPr="002608F9">
              <w:rPr>
                <w:rFonts w:eastAsia="Times New Roman" w:cs="B Zar" w:hint="cs"/>
                <w:b/>
                <w:bCs/>
                <w:rtl/>
              </w:rPr>
              <w:t>گروه های بالینی دانشکده پزشکی</w:t>
            </w:r>
          </w:p>
        </w:tc>
      </w:tr>
      <w:tr w:rsidR="005D1D04" w:rsidRPr="005D1D04" w:rsidTr="00D81ED0">
        <w:trPr>
          <w:trHeight w:val="655"/>
          <w:jc w:val="center"/>
        </w:trPr>
        <w:tc>
          <w:tcPr>
            <w:cnfStyle w:val="001000000000"/>
            <w:tcW w:w="3188" w:type="dxa"/>
            <w:tcBorders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468" w:type="dxa"/>
            <w:vAlign w:val="center"/>
          </w:tcPr>
          <w:p w:rsidR="00A70785" w:rsidRPr="00A70785" w:rsidRDefault="00A70785" w:rsidP="00A70785">
            <w:pPr>
              <w:numPr>
                <w:ilvl w:val="0"/>
                <w:numId w:val="2"/>
              </w:numPr>
              <w:bidi/>
              <w:cnfStyle w:val="000000000000"/>
              <w:rPr>
                <w:rFonts w:eastAsia="Times New Roman" w:cs="B Zar"/>
                <w:b/>
                <w:bCs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 xml:space="preserve">تعیین میزان توازن در توزیع تعداد واحد درسی و موظفی آموزشی (بار آموزشی) اعضای هیات علمی در گروه های آموزشی پس از اعمال فرمول </w:t>
            </w:r>
            <w:r w:rsidRPr="00B71DD7">
              <w:rPr>
                <w:rFonts w:eastAsia="Times New Roman" w:cs="B Zar" w:hint="cs"/>
                <w:b/>
                <w:bCs/>
                <w:rtl/>
              </w:rPr>
              <w:t>محاسبه نسبت هیات علمی آموزشی به دانشجو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 در گروه های آموزشی به تفکیک دانشکده ها</w:t>
            </w:r>
          </w:p>
          <w:p w:rsidR="00E431EF" w:rsidRPr="00B33006" w:rsidRDefault="00E431EF" w:rsidP="00A70785">
            <w:pPr>
              <w:numPr>
                <w:ilvl w:val="0"/>
                <w:numId w:val="2"/>
              </w:numPr>
              <w:bidi/>
              <w:cnfStyle w:val="000000000000"/>
              <w:rPr>
                <w:rFonts w:eastAsia="Times New Roman" w:cs="B Zar"/>
                <w:b/>
                <w:bCs/>
                <w:rtl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 xml:space="preserve">تعیین میزان کاهش در پرداخت حق التدریس به تعداد واحد های درسی در گروه های آموزشی پس از اعمال فرمول </w:t>
            </w:r>
            <w:r w:rsidRPr="00B71DD7">
              <w:rPr>
                <w:rFonts w:eastAsia="Times New Roman" w:cs="B Zar" w:hint="cs"/>
                <w:b/>
                <w:bCs/>
                <w:rtl/>
              </w:rPr>
              <w:t>محاسبه نسبت هیات علمی آموزشی به دانشجو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 در گروه های آموزشی که با نگاه به نتیجه محاسبه ، اقدام به جذب هیات علمی کرده اند به تفکیک دانشکده ها از سال 96 تاکنون</w:t>
            </w:r>
          </w:p>
          <w:p w:rsidR="00A70785" w:rsidRDefault="00A70785" w:rsidP="00A70785">
            <w:pPr>
              <w:numPr>
                <w:ilvl w:val="0"/>
                <w:numId w:val="2"/>
              </w:numPr>
              <w:bidi/>
              <w:cnfStyle w:val="000000000000"/>
              <w:rPr>
                <w:rFonts w:eastAsia="Times New Roman" w:cs="B Zar"/>
                <w:b/>
                <w:bCs/>
              </w:rPr>
            </w:pPr>
            <w:r>
              <w:rPr>
                <w:rFonts w:eastAsia="Times New Roman" w:cs="B Zar" w:hint="cs"/>
                <w:b/>
                <w:bCs/>
                <w:rtl/>
              </w:rPr>
              <w:t>تعیین</w:t>
            </w:r>
            <w:r w:rsidRPr="00B71DD7">
              <w:rPr>
                <w:rFonts w:eastAsia="Times New Roman" w:cs="B Zar" w:hint="cs"/>
                <w:b/>
                <w:bCs/>
                <w:rtl/>
              </w:rPr>
              <w:t xml:space="preserve"> میزان تطابق نتایج 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این روش محاسبه در برآورد نیروی انسانی هیات علمی مورد نیاز دانشگاه </w:t>
            </w:r>
            <w:r w:rsidRPr="002608F9">
              <w:rPr>
                <w:rFonts w:eastAsia="Times New Roman" w:cs="B Zar" w:hint="cs"/>
                <w:b/>
                <w:bCs/>
                <w:rtl/>
              </w:rPr>
              <w:t>به تفکیک گرایشهای تخصص و فوق تخصص و فلوشیپ آموزشی در های بالینی دانشکده پزشکی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 با گزارش میدانی جمع آوری شده از مدیران دانشگاه</w:t>
            </w:r>
          </w:p>
          <w:p w:rsidR="005D1D04" w:rsidRPr="00B463BB" w:rsidRDefault="003341D7" w:rsidP="00B463BB">
            <w:pPr>
              <w:numPr>
                <w:ilvl w:val="0"/>
                <w:numId w:val="2"/>
              </w:numPr>
              <w:bidi/>
              <w:cnfStyle w:val="000000000000"/>
              <w:rPr>
                <w:rFonts w:eastAsia="Times New Roman" w:cs="B Zar"/>
                <w:b/>
                <w:bCs/>
                <w:rtl/>
              </w:rPr>
            </w:pPr>
            <w:r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تهیه تابلو قابل گزارش گیری از وضعیت 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موجود دانشگاه از لحاظ </w:t>
            </w:r>
            <w:r>
              <w:rPr>
                <w:rFonts w:eastAsia="Times New Roman" w:cs="B Zar" w:hint="cs"/>
                <w:b/>
                <w:bCs/>
                <w:rtl/>
                <w:lang w:bidi="fa-IR"/>
              </w:rPr>
              <w:t>تعداد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رشته و دانشجویان و هیات علمی </w:t>
            </w:r>
            <w:r w:rsidR="003A55D2">
              <w:rPr>
                <w:rFonts w:eastAsia="Times New Roman" w:cs="B Zar" w:hint="cs"/>
                <w:b/>
                <w:bCs/>
                <w:rtl/>
                <w:lang w:bidi="fa-IR"/>
              </w:rPr>
              <w:t>به تفکیک دانشکده و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>گروه آموزشی و محاسبه هیات علمی مورد نیاز هر گروه آموزشی و الویت</w:t>
            </w:r>
            <w:r w:rsidR="003A55D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گذاری برای جذب هیات علمی در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دانشگاه بر اساس شدت نیاز</w:t>
            </w:r>
            <w:r w:rsidR="003A55D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</w:t>
            </w:r>
            <w:r w:rsidR="003A55D2">
              <w:rPr>
                <w:rFonts w:eastAsia="Times New Roman" w:cs="B Zar" w:hint="cs"/>
                <w:b/>
                <w:bCs/>
                <w:rtl/>
                <w:lang w:bidi="fa-IR"/>
              </w:rPr>
              <w:t>موجود در بار آموزشی محاسبه شده در</w:t>
            </w:r>
            <w:r w:rsidR="004733E2">
              <w:rPr>
                <w:rFonts w:eastAsia="Times New Roman" w:cs="B Zar" w:hint="cs"/>
                <w:b/>
                <w:bCs/>
                <w:rtl/>
                <w:lang w:bidi="fa-IR"/>
              </w:rPr>
              <w:t xml:space="preserve"> گروه ها </w:t>
            </w:r>
          </w:p>
        </w:tc>
      </w:tr>
      <w:tr w:rsidR="005D1D04" w:rsidRPr="005D1D04" w:rsidTr="00D81ED0">
        <w:trPr>
          <w:cnfStyle w:val="000000100000"/>
          <w:trHeight w:val="1310"/>
          <w:jc w:val="center"/>
        </w:trPr>
        <w:tc>
          <w:tcPr>
            <w:cnfStyle w:val="001000000000"/>
            <w:tcW w:w="3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4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D1D04" w:rsidRPr="00D16ECB" w:rsidRDefault="00D16ECB" w:rsidP="00D16ECB">
            <w:pPr>
              <w:bidi/>
              <w:cnfStyle w:val="000000100000"/>
              <w:rPr>
                <w:rFonts w:eastAsia="Times New Roman" w:cs="B Zar"/>
                <w:b/>
                <w:bCs/>
                <w:rtl/>
              </w:rPr>
            </w:pPr>
            <w:r w:rsidRPr="00D16ECB">
              <w:rPr>
                <w:rFonts w:eastAsia="Times New Roman" w:cs="B Zar" w:hint="cs"/>
                <w:b/>
                <w:bCs/>
                <w:rtl/>
              </w:rPr>
              <w:t>ح</w:t>
            </w:r>
            <w:r w:rsidR="00A70785" w:rsidRPr="00D16ECB">
              <w:rPr>
                <w:rFonts w:eastAsia="Times New Roman" w:cs="B Zar" w:hint="cs"/>
                <w:b/>
                <w:bCs/>
                <w:rtl/>
              </w:rPr>
              <w:t xml:space="preserve">مایت از مراحل جمع آوری داده و تحلیل داده ها </w:t>
            </w:r>
            <w:r>
              <w:rPr>
                <w:rFonts w:eastAsia="Times New Roman" w:cs="B Zar" w:hint="cs"/>
                <w:b/>
                <w:bCs/>
                <w:rtl/>
              </w:rPr>
              <w:t>و</w:t>
            </w:r>
            <w:r w:rsidR="000669A6">
              <w:rPr>
                <w:rFonts w:eastAsia="Times New Roman" w:cs="B Zar" w:hint="cs"/>
                <w:b/>
                <w:bCs/>
                <w:rtl/>
              </w:rPr>
              <w:t xml:space="preserve"> کمک به</w:t>
            </w:r>
            <w:bookmarkStart w:id="0" w:name="_GoBack"/>
            <w:bookmarkEnd w:id="0"/>
            <w:r>
              <w:rPr>
                <w:rFonts w:eastAsia="Times New Roman" w:cs="B Zar" w:hint="cs"/>
                <w:b/>
                <w:bCs/>
                <w:rtl/>
              </w:rPr>
              <w:t xml:space="preserve"> بسترسازی در</w:t>
            </w:r>
            <w:r w:rsidR="00A70785" w:rsidRPr="00D16ECB">
              <w:rPr>
                <w:rFonts w:eastAsia="Times New Roman" w:cs="B Zar" w:hint="cs"/>
                <w:b/>
                <w:bCs/>
                <w:rtl/>
              </w:rPr>
              <w:t xml:space="preserve"> دانشگاه </w:t>
            </w:r>
            <w:r>
              <w:rPr>
                <w:rFonts w:eastAsia="Times New Roman" w:cs="B Zar" w:hint="cs"/>
                <w:b/>
                <w:bCs/>
                <w:rtl/>
              </w:rPr>
              <w:t>برای</w:t>
            </w:r>
            <w:r w:rsidR="00A70785" w:rsidRPr="00D16ECB">
              <w:rPr>
                <w:rFonts w:eastAsia="Times New Roman" w:cs="B Zar" w:hint="cs"/>
                <w:b/>
                <w:bCs/>
                <w:rtl/>
              </w:rPr>
              <w:t xml:space="preserve"> استفاده از گزارشات 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تولید شده </w:t>
            </w:r>
            <w:r w:rsidR="00A70785" w:rsidRPr="00D16ECB">
              <w:rPr>
                <w:rFonts w:eastAsia="Times New Roman" w:cs="B Zar" w:hint="cs"/>
                <w:b/>
                <w:bCs/>
                <w:rtl/>
              </w:rPr>
              <w:t xml:space="preserve">در </w:t>
            </w:r>
            <w:r>
              <w:rPr>
                <w:rFonts w:eastAsia="Times New Roman" w:cs="B Zar" w:hint="cs"/>
                <w:b/>
                <w:bCs/>
                <w:rtl/>
              </w:rPr>
              <w:t xml:space="preserve">فرایند </w:t>
            </w:r>
            <w:r w:rsidR="00A70785" w:rsidRPr="00D16ECB">
              <w:rPr>
                <w:rFonts w:eastAsia="Times New Roman" w:cs="B Zar" w:hint="cs"/>
                <w:b/>
                <w:bCs/>
                <w:rtl/>
              </w:rPr>
              <w:t>جذب هیات علمی درسطح دانشگاه</w:t>
            </w:r>
          </w:p>
        </w:tc>
      </w:tr>
      <w:tr w:rsidR="005D1D04" w:rsidRPr="005D1D04" w:rsidTr="00D81ED0">
        <w:trPr>
          <w:trHeight w:val="631"/>
          <w:jc w:val="center"/>
        </w:trPr>
        <w:tc>
          <w:tcPr>
            <w:cnfStyle w:val="001000000000"/>
            <w:tcW w:w="3188" w:type="dxa"/>
            <w:tcBorders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468" w:type="dxa"/>
            <w:vAlign w:val="center"/>
          </w:tcPr>
          <w:p w:rsidR="005D1D04" w:rsidRPr="00D16ECB" w:rsidRDefault="00E431EF" w:rsidP="005D1D04">
            <w:pPr>
              <w:bidi/>
              <w:cnfStyle w:val="000000000000"/>
              <w:rPr>
                <w:rFonts w:eastAsia="Times New Roman" w:cs="B Zar"/>
                <w:b/>
                <w:bCs/>
                <w:rtl/>
              </w:rPr>
            </w:pPr>
            <w:r w:rsidRPr="00D16ECB">
              <w:rPr>
                <w:rFonts w:eastAsia="Times New Roman" w:cs="B Zar" w:hint="cs"/>
                <w:b/>
                <w:bCs/>
                <w:rtl/>
              </w:rPr>
              <w:t>12 ماه</w:t>
            </w:r>
          </w:p>
        </w:tc>
      </w:tr>
      <w:tr w:rsidR="005D1D04" w:rsidRPr="005D1D04" w:rsidTr="00D81ED0">
        <w:trPr>
          <w:cnfStyle w:val="000000100000"/>
          <w:trHeight w:val="655"/>
          <w:jc w:val="center"/>
        </w:trPr>
        <w:tc>
          <w:tcPr>
            <w:cnfStyle w:val="001000000000"/>
            <w:tcW w:w="31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4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28" w:rsidRDefault="00594E28" w:rsidP="008D099D">
      <w:pPr>
        <w:spacing w:after="0" w:line="240" w:lineRule="auto"/>
      </w:pPr>
      <w:r>
        <w:separator/>
      </w:r>
    </w:p>
  </w:endnote>
  <w:endnote w:type="continuationSeparator" w:id="0">
    <w:p w:rsidR="00594E28" w:rsidRDefault="00594E28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28" w:rsidRDefault="00594E28" w:rsidP="008D099D">
      <w:pPr>
        <w:spacing w:after="0" w:line="240" w:lineRule="auto"/>
      </w:pPr>
      <w:r>
        <w:separator/>
      </w:r>
    </w:p>
  </w:footnote>
  <w:footnote w:type="continuationSeparator" w:id="0">
    <w:p w:rsidR="00594E28" w:rsidRDefault="00594E28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7024A"/>
    <w:multiLevelType w:val="hybridMultilevel"/>
    <w:tmpl w:val="2396A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46A6"/>
    <w:multiLevelType w:val="hybridMultilevel"/>
    <w:tmpl w:val="2396A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669A6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3787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76566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4B3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857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41D7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55D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00AE"/>
    <w:rsid w:val="004733E2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28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098A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449A9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66426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785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071C"/>
    <w:rsid w:val="00AD19B9"/>
    <w:rsid w:val="00AD6072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3BB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B2E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2D4D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833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16ECB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1ED0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31EF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2021-10-12T09:40:00Z</dcterms:created>
  <dcterms:modified xsi:type="dcterms:W3CDTF">2021-10-12T09:40:00Z</dcterms:modified>
</cp:coreProperties>
</file>